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6D97D" w14:textId="71682BE1" w:rsidR="0071410E" w:rsidRPr="00157CCF" w:rsidRDefault="004E4B51" w:rsidP="00157CCF">
      <w:pPr>
        <w:pStyle w:val="Default"/>
        <w:spacing w:before="60"/>
        <w:jc w:val="both"/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</w:pPr>
      <w:r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4</w:t>
      </w:r>
      <w:r w:rsidR="003F78D4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. </w:t>
      </w:r>
      <w:r w:rsidR="00155616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Operațiune</w:t>
      </w:r>
      <w:r w:rsidR="00DA4E31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 de importanță </w:t>
      </w:r>
      <w:r w:rsidR="001F6726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strategic</w:t>
      </w:r>
      <w:r w:rsidR="00DA4E31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ă</w:t>
      </w:r>
      <w:r w:rsidR="001F6726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 –</w:t>
      </w:r>
      <w:r w:rsidR="0071410E" w:rsidRPr="00157CCF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 Creșterea capacității de îngrijire medicală a pacientului critic prenatal/ neonatal/ postneonatal</w:t>
      </w:r>
    </w:p>
    <w:p w14:paraId="0C9E97E1" w14:textId="77777777" w:rsidR="004F384D" w:rsidRPr="00157CCF" w:rsidRDefault="004F384D" w:rsidP="00157CCF">
      <w:pPr>
        <w:pStyle w:val="Default"/>
        <w:spacing w:before="60"/>
        <w:jc w:val="both"/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</w:pPr>
    </w:p>
    <w:p w14:paraId="0DD2D434" w14:textId="60F77E10" w:rsidR="00464308" w:rsidRPr="00157CCF" w:rsidRDefault="00464308" w:rsidP="00157CCF">
      <w:pPr>
        <w:pStyle w:val="Default"/>
        <w:numPr>
          <w:ilvl w:val="0"/>
          <w:numId w:val="24"/>
        </w:numPr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</w:t>
      </w:r>
      <w:r w:rsidR="003F78D4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OP 4</w:t>
      </w:r>
      <w:r w:rsidR="004F384D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1F7DB2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–</w:t>
      </w:r>
      <w:r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1F7DB2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59</w:t>
      </w:r>
      <w:r w:rsidR="001F50F6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.</w:t>
      </w:r>
      <w:r w:rsidR="001F7DB2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612</w:t>
      </w:r>
      <w:r w:rsidR="001F50F6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.</w:t>
      </w:r>
      <w:r w:rsidR="001F7DB2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180</w:t>
      </w:r>
      <w:r w:rsidR="00594E2C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A72D03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milioane euro</w:t>
      </w:r>
    </w:p>
    <w:p w14:paraId="76397F9F" w14:textId="5387C463" w:rsidR="00D72B4E" w:rsidRPr="00024691" w:rsidRDefault="00D72B4E" w:rsidP="00157CCF">
      <w:pPr>
        <w:pStyle w:val="Default"/>
        <w:numPr>
          <w:ilvl w:val="0"/>
          <w:numId w:val="24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</w:t>
      </w:r>
      <w:r w:rsidR="0002469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l</w:t>
      </w:r>
      <w:r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FSE</w:t>
      </w:r>
      <w:r w:rsidR="00933C93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3F78D4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OP 4</w:t>
      </w:r>
      <w:r w:rsidR="004F384D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933C93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– </w:t>
      </w:r>
      <w:r w:rsidR="001F50F6" w:rsidRPr="00157CCF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15 milioane euro</w:t>
      </w:r>
    </w:p>
    <w:p w14:paraId="1A85F1E5" w14:textId="6F7EA1BE" w:rsidR="00024691" w:rsidRPr="00157CCF" w:rsidRDefault="00024691" w:rsidP="00157CCF">
      <w:pPr>
        <w:pStyle w:val="Default"/>
        <w:numPr>
          <w:ilvl w:val="0"/>
          <w:numId w:val="24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Total FEDR OP 1 -  urmează a fi stabilit</w:t>
      </w:r>
    </w:p>
    <w:p w14:paraId="69428642" w14:textId="77777777" w:rsidR="001F6726" w:rsidRPr="00157CCF" w:rsidRDefault="001F6726" w:rsidP="00157CCF">
      <w:pPr>
        <w:spacing w:before="60" w:after="0" w:line="240" w:lineRule="auto"/>
        <w:jc w:val="both"/>
        <w:rPr>
          <w:rFonts w:cstheme="minorHAnsi"/>
          <w:color w:val="002060"/>
        </w:rPr>
      </w:pPr>
    </w:p>
    <w:tbl>
      <w:tblPr>
        <w:tblStyle w:val="Tabelgril"/>
        <w:tblW w:w="5000" w:type="pct"/>
        <w:tblLayout w:type="fixed"/>
        <w:tblLook w:val="04A0" w:firstRow="1" w:lastRow="0" w:firstColumn="1" w:lastColumn="0" w:noHBand="0" w:noVBand="1"/>
      </w:tblPr>
      <w:tblGrid>
        <w:gridCol w:w="2911"/>
        <w:gridCol w:w="4880"/>
        <w:gridCol w:w="5367"/>
        <w:gridCol w:w="1964"/>
        <w:gridCol w:w="2948"/>
        <w:gridCol w:w="1946"/>
        <w:gridCol w:w="2348"/>
      </w:tblGrid>
      <w:tr w:rsidR="00157CCF" w:rsidRPr="00157CCF" w14:paraId="7755850F" w14:textId="77777777" w:rsidTr="00157CCF">
        <w:trPr>
          <w:tblHeader/>
        </w:trPr>
        <w:tc>
          <w:tcPr>
            <w:tcW w:w="651" w:type="pct"/>
            <w:vMerge w:val="restart"/>
            <w:shd w:val="clear" w:color="auto" w:fill="EAF1DD" w:themeFill="accent3" w:themeFillTint="33"/>
          </w:tcPr>
          <w:p w14:paraId="6D6492C9" w14:textId="676F1700" w:rsidR="007328F4" w:rsidRPr="00157CCF" w:rsidRDefault="001F50F6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Prioritatea/ Fond</w:t>
            </w:r>
          </w:p>
        </w:tc>
        <w:tc>
          <w:tcPr>
            <w:tcW w:w="1091" w:type="pct"/>
            <w:vMerge w:val="restart"/>
            <w:shd w:val="clear" w:color="auto" w:fill="EAF1DD" w:themeFill="accent3" w:themeFillTint="33"/>
          </w:tcPr>
          <w:p w14:paraId="38258451" w14:textId="039E5D0E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1200" w:type="pct"/>
            <w:vMerge w:val="restart"/>
            <w:shd w:val="clear" w:color="auto" w:fill="EAF1DD" w:themeFill="accent3" w:themeFillTint="33"/>
          </w:tcPr>
          <w:p w14:paraId="1251F850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Cine este beneficiarul intervenției</w:t>
            </w:r>
          </w:p>
        </w:tc>
        <w:tc>
          <w:tcPr>
            <w:tcW w:w="439" w:type="pct"/>
            <w:vMerge w:val="restart"/>
            <w:shd w:val="clear" w:color="auto" w:fill="EAF1DD" w:themeFill="accent3" w:themeFillTint="33"/>
          </w:tcPr>
          <w:p w14:paraId="2DE5BE82" w14:textId="24042378" w:rsidR="007328F4" w:rsidRPr="00157CCF" w:rsidRDefault="007328F4" w:rsidP="00157CCF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094" w:type="pct"/>
            <w:gridSpan w:val="2"/>
            <w:shd w:val="clear" w:color="auto" w:fill="EAF1DD" w:themeFill="accent3" w:themeFillTint="33"/>
          </w:tcPr>
          <w:p w14:paraId="2057A2A5" w14:textId="5F612C1A" w:rsidR="007328F4" w:rsidRPr="00157CCF" w:rsidRDefault="007328F4" w:rsidP="00157CCF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525" w:type="pct"/>
            <w:vMerge w:val="restart"/>
            <w:shd w:val="clear" w:color="auto" w:fill="EAF1DD" w:themeFill="accent3" w:themeFillTint="33"/>
          </w:tcPr>
          <w:p w14:paraId="0AE110FE" w14:textId="32E8998E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157CCF" w:rsidRPr="00157CCF" w14:paraId="1CC503E0" w14:textId="77777777" w:rsidTr="00157CCF">
        <w:trPr>
          <w:tblHeader/>
        </w:trPr>
        <w:tc>
          <w:tcPr>
            <w:tcW w:w="651" w:type="pct"/>
            <w:vMerge/>
            <w:shd w:val="clear" w:color="auto" w:fill="EAF1DD" w:themeFill="accent3" w:themeFillTint="33"/>
          </w:tcPr>
          <w:p w14:paraId="727BFD0E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091" w:type="pct"/>
            <w:vMerge/>
            <w:shd w:val="clear" w:color="auto" w:fill="EAF1DD" w:themeFill="accent3" w:themeFillTint="33"/>
          </w:tcPr>
          <w:p w14:paraId="6CD3FCC0" w14:textId="46602BC5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200" w:type="pct"/>
            <w:vMerge/>
            <w:shd w:val="clear" w:color="auto" w:fill="EAF1DD" w:themeFill="accent3" w:themeFillTint="33"/>
          </w:tcPr>
          <w:p w14:paraId="1B94485D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439" w:type="pct"/>
            <w:vMerge/>
            <w:shd w:val="clear" w:color="auto" w:fill="EAF1DD" w:themeFill="accent3" w:themeFillTint="33"/>
          </w:tcPr>
          <w:p w14:paraId="28C4477E" w14:textId="77777777" w:rsidR="007328F4" w:rsidRPr="00157CCF" w:rsidRDefault="007328F4" w:rsidP="00157CCF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</w:p>
        </w:tc>
        <w:tc>
          <w:tcPr>
            <w:tcW w:w="659" w:type="pct"/>
            <w:shd w:val="clear" w:color="auto" w:fill="EAF1DD" w:themeFill="accent3" w:themeFillTint="33"/>
          </w:tcPr>
          <w:p w14:paraId="22A8DFF1" w14:textId="61CA4BA1" w:rsidR="007328F4" w:rsidRPr="00157CCF" w:rsidRDefault="007328F4" w:rsidP="00157CCF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435" w:type="pct"/>
            <w:shd w:val="clear" w:color="auto" w:fill="EAF1DD" w:themeFill="accent3" w:themeFillTint="33"/>
          </w:tcPr>
          <w:p w14:paraId="43A3F751" w14:textId="3987F3C9" w:rsidR="007328F4" w:rsidRPr="00157CCF" w:rsidRDefault="007328F4" w:rsidP="00157CCF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157CCF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525" w:type="pct"/>
            <w:vMerge/>
            <w:shd w:val="clear" w:color="auto" w:fill="EAF1DD" w:themeFill="accent3" w:themeFillTint="33"/>
          </w:tcPr>
          <w:p w14:paraId="0453C54E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157CCF" w:rsidRPr="00157CCF" w14:paraId="661CF62B" w14:textId="77777777" w:rsidTr="00157CCF">
        <w:tc>
          <w:tcPr>
            <w:tcW w:w="651" w:type="pct"/>
          </w:tcPr>
          <w:p w14:paraId="0FB7E577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728A35F1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841ABE1" w14:textId="534A9A4E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700E8F47" w14:textId="799B9B0A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6197BF66" w14:textId="15969422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CBD9B4A" w14:textId="20FB55E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651B4799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2F67DAB1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57480CD9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66926128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3BEFA83D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3EDE18E" w14:textId="18A63944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4</w:t>
            </w:r>
          </w:p>
          <w:p w14:paraId="5AA6A27F" w14:textId="5F3DBF2E" w:rsidR="007328F4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highlight w:val="cyan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091" w:type="pct"/>
          </w:tcPr>
          <w:p w14:paraId="6CC376FF" w14:textId="19A7EFC9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Apel de proiecte 1 </w:t>
            </w: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OP4</w:t>
            </w: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: </w:t>
            </w:r>
          </w:p>
          <w:p w14:paraId="5095B990" w14:textId="77777777" w:rsidR="007328F4" w:rsidRPr="00157CCF" w:rsidRDefault="007328F4" w:rsidP="00157CCF">
            <w:pPr>
              <w:pStyle w:val="Default"/>
              <w:spacing w:before="60"/>
              <w:ind w:left="3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44713C34" w14:textId="0447349C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Infrastructură spitalicească adecvată îngrijirii dedicate a  pacientului critic neonatal prin:</w:t>
            </w:r>
          </w:p>
          <w:p w14:paraId="471F7659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</w:p>
          <w:p w14:paraId="74E4247F" w14:textId="304F32DA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a) Reabilitarea/modernizarea/dotarea/extinderea infrastructurii existente (inclusiv extindere prin construcție de clădiri noi) a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sectiilor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/ compartimentelor de terapie intensiva neonatala din </w:t>
            </w:r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u w:val="single"/>
                <w:lang w:val="ro-RO"/>
              </w:rPr>
              <w:t>spitalele de pediatrie</w:t>
            </w:r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si din</w:t>
            </w:r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u w:val="single"/>
                <w:lang w:val="ro-RO"/>
              </w:rPr>
              <w:t>unitățile spitalicești nivel de ierarhizare III</w:t>
            </w: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conform Ordinului nr. 1881/2006 privind ierarhizarea unităților spitalicești, a secțiilor și compartimentelor de obstetrică-ginecologie și neonatologie   </w:t>
            </w:r>
          </w:p>
          <w:p w14:paraId="6F590675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3BA5114E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126587EE" w14:textId="63FC28A5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Acest demers va îmbunătăți adresabilitatea nou născuților cu afecțiuni critice </w:t>
            </w:r>
            <w:r w:rsidRPr="00157CCF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de la 64% la 96%.</w:t>
            </w: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</w:p>
          <w:p w14:paraId="4B3736BC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4FB97813" w14:textId="77777777" w:rsidR="007328F4" w:rsidRPr="00157CCF" w:rsidRDefault="007328F4" w:rsidP="00157CCF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55F864BC" w14:textId="77777777" w:rsidR="007328F4" w:rsidRPr="00157CCF" w:rsidRDefault="007328F4" w:rsidP="00157CCF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3C018FDA" w14:textId="7EF51CBF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NB: </w:t>
            </w:r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In cadrul acestui apel vor fi prinse si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activitatile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din cadrul OIS</w:t>
            </w:r>
            <w:r w:rsidRPr="00157CCF">
              <w:rPr>
                <w:rFonts w:asciiTheme="minorHAnsi" w:hAnsiTheme="minorHAnsi" w:cstheme="minorHAnsi"/>
                <w:b/>
                <w:i/>
                <w:iCs/>
                <w:color w:val="C00000"/>
                <w:sz w:val="22"/>
                <w:szCs w:val="22"/>
                <w:lang w:val="ro-RO"/>
              </w:rPr>
              <w:t xml:space="preserve"> - Măsuri de diagnosticare precoce și/sau tratament antenatal/neonatal/postnatal</w:t>
            </w:r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.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Call-ul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de proiecte va fi unul integrat ca si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masura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de simplificare in vederea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implementarii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de proiecte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tinand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cont de faptul ca grupul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tinta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este format din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aceleasi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>unitati</w:t>
            </w:r>
            <w:proofErr w:type="spellEnd"/>
            <w:r w:rsidRPr="00157CCF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  <w:lang w:val="ro-RO"/>
              </w:rPr>
              <w:t xml:space="preserve"> sanitare.</w:t>
            </w:r>
            <w:r w:rsidRPr="00157CCF"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200" w:type="pct"/>
          </w:tcPr>
          <w:p w14:paraId="517083C4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Institutul National pentru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Sanatatea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Mamei si Copilului “Alessandrescu-Rusescu” </w:t>
            </w:r>
          </w:p>
          <w:p w14:paraId="647BC626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INSMC "Prof. Dr. Alfred Rusescu" – Clinica Obstetrică-Ginecologie Polizu </w:t>
            </w:r>
          </w:p>
          <w:p w14:paraId="1E1167D8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"Sf. Ioan" - Maternitatea Bucur </w:t>
            </w:r>
          </w:p>
          <w:p w14:paraId="1CC98D6E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"Sf. Pantelimon"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Bucuresti</w:t>
            </w:r>
            <w:proofErr w:type="spellEnd"/>
          </w:p>
          <w:p w14:paraId="7B438522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de Urgență pentru Copii „Grigore  Alexandrescu”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Bucureşti</w:t>
            </w:r>
            <w:proofErr w:type="spellEnd"/>
          </w:p>
          <w:p w14:paraId="685750D3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de Urgență pentru Copii „M. S. Curie”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Bucureşti</w:t>
            </w:r>
            <w:proofErr w:type="spellEnd"/>
          </w:p>
          <w:p w14:paraId="78C4A902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Dr. I. Cantacuzino" </w:t>
            </w:r>
          </w:p>
          <w:p w14:paraId="2B94A352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Județean de Urgență "Pius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Branzeu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" Timișoara</w:t>
            </w:r>
          </w:p>
          <w:p w14:paraId="004A425B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"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Sf.Apostol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Andrei"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Galaţi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3BE04E10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Cluj-Napoca</w:t>
            </w:r>
          </w:p>
          <w:p w14:paraId="271F8DB6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Constanţa</w:t>
            </w:r>
            <w:proofErr w:type="spellEnd"/>
          </w:p>
          <w:p w14:paraId="008C5570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Craiova</w:t>
            </w:r>
          </w:p>
          <w:p w14:paraId="22B666C2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Târgu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Mureş</w:t>
            </w:r>
            <w:proofErr w:type="spellEnd"/>
          </w:p>
          <w:p w14:paraId="3156B25C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Sibiu</w:t>
            </w:r>
          </w:p>
          <w:p w14:paraId="6605338F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Spitalul Clinic Municipal de Urgență Timișoara</w:t>
            </w:r>
          </w:p>
          <w:p w14:paraId="7097E15E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Obstetrică-Ginecologie "Cuza Vodă"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Iaşi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5F9DA082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Obstetrică-Ginecologie "Prof. Dr. Panait Sârbu" </w:t>
            </w:r>
          </w:p>
          <w:p w14:paraId="3D238793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Obstetrică-Ginecologie Filantropia </w:t>
            </w:r>
          </w:p>
          <w:p w14:paraId="1714DEE8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Spitalul Clinic Obstetrică-Ginecologie Oradea</w:t>
            </w:r>
          </w:p>
          <w:p w14:paraId="32F82F04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de Urgenta pentru copii Louis Turcanu din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Timisoara</w:t>
            </w:r>
            <w:proofErr w:type="spellEnd"/>
          </w:p>
          <w:p w14:paraId="7DEEDE11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"Sf. Ioan cel Nou" Suceava</w:t>
            </w:r>
          </w:p>
          <w:p w14:paraId="65FA2215" w14:textId="77777777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Bacău</w:t>
            </w:r>
          </w:p>
          <w:p w14:paraId="751A14AD" w14:textId="3700436F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Târgovişte</w:t>
            </w:r>
            <w:proofErr w:type="spellEnd"/>
          </w:p>
          <w:p w14:paraId="2027D6B0" w14:textId="704C990B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lastRenderedPageBreak/>
              <w:t>Spitalul Obstetrică-Ginecologie ”Dr. Ioan Aurel Sbârcea” Brașov</w:t>
            </w:r>
          </w:p>
          <w:p w14:paraId="046C4F68" w14:textId="5D720AE1" w:rsidR="007328F4" w:rsidRPr="00157CCF" w:rsidRDefault="007328F4" w:rsidP="00157CCF">
            <w:pPr>
              <w:pStyle w:val="Default"/>
              <w:numPr>
                <w:ilvl w:val="0"/>
                <w:numId w:val="40"/>
              </w:numPr>
              <w:spacing w:before="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Spitalul Universitar de Urgență</w:t>
            </w:r>
          </w:p>
        </w:tc>
        <w:tc>
          <w:tcPr>
            <w:tcW w:w="439" w:type="pct"/>
          </w:tcPr>
          <w:p w14:paraId="09E0C12A" w14:textId="507155B8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lastRenderedPageBreak/>
              <w:t>Unitățile sanitare</w:t>
            </w:r>
          </w:p>
        </w:tc>
        <w:tc>
          <w:tcPr>
            <w:tcW w:w="659" w:type="pct"/>
          </w:tcPr>
          <w:p w14:paraId="474A6BA4" w14:textId="0CF764C0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Capacitatea infrastructurii de asistență medicală sprijinită (persoane/ an)</w:t>
            </w:r>
            <w:r w:rsidRPr="00157CCF">
              <w:rPr>
                <w:rStyle w:val="Referinnotdesubsol"/>
                <w:rFonts w:cstheme="minorHAnsi"/>
                <w:color w:val="002060"/>
              </w:rPr>
              <w:footnoteReference w:id="1"/>
            </w:r>
          </w:p>
          <w:p w14:paraId="0D104753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448CFF56" w14:textId="794F17F3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 xml:space="preserve">Paturi nou înființate în secțiile de reanimare/ terapie intensivă </w:t>
            </w:r>
          </w:p>
          <w:p w14:paraId="702C6B51" w14:textId="77777777" w:rsidR="007328F4" w:rsidRPr="00157CCF" w:rsidRDefault="007328F4" w:rsidP="00157CCF">
            <w:pPr>
              <w:pStyle w:val="Listparagraf"/>
              <w:spacing w:before="60"/>
              <w:contextualSpacing w:val="0"/>
              <w:rPr>
                <w:rFonts w:cstheme="minorHAnsi"/>
                <w:color w:val="002060"/>
              </w:rPr>
            </w:pPr>
          </w:p>
          <w:p w14:paraId="731E03E6" w14:textId="77777777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Unități spitalicești/secții și compartimentelor de obstetrică ginecologie și neonatologie reabilitate/modernizate/extinse/dotate</w:t>
            </w:r>
          </w:p>
          <w:p w14:paraId="618889F6" w14:textId="77777777" w:rsidR="007328F4" w:rsidRPr="00157CCF" w:rsidRDefault="007328F4" w:rsidP="00157CCF">
            <w:pPr>
              <w:pStyle w:val="Listparagraf"/>
              <w:spacing w:before="60"/>
              <w:contextualSpacing w:val="0"/>
              <w:rPr>
                <w:rFonts w:cstheme="minorHAnsi"/>
                <w:color w:val="002060"/>
              </w:rPr>
            </w:pPr>
          </w:p>
          <w:p w14:paraId="581188A3" w14:textId="77777777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 xml:space="preserve">Echipamente medicale </w:t>
            </w:r>
            <w:proofErr w:type="spellStart"/>
            <w:r w:rsidRPr="00157CCF">
              <w:rPr>
                <w:rFonts w:cstheme="minorHAnsi"/>
                <w:color w:val="002060"/>
              </w:rPr>
              <w:t>achizitionate</w:t>
            </w:r>
            <w:proofErr w:type="spellEnd"/>
          </w:p>
          <w:p w14:paraId="33B3B6B3" w14:textId="77777777" w:rsidR="007328F4" w:rsidRPr="00157CCF" w:rsidRDefault="007328F4" w:rsidP="00157CCF">
            <w:pPr>
              <w:pStyle w:val="Listparagraf"/>
              <w:spacing w:before="60"/>
              <w:contextualSpacing w:val="0"/>
              <w:rPr>
                <w:rFonts w:cstheme="minorHAnsi"/>
                <w:color w:val="002060"/>
              </w:rPr>
            </w:pPr>
          </w:p>
          <w:p w14:paraId="2D68CC3D" w14:textId="313EFA35" w:rsidR="007328F4" w:rsidRPr="00157CCF" w:rsidRDefault="007328F4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35" w:type="pct"/>
          </w:tcPr>
          <w:p w14:paraId="5A8DA767" w14:textId="77777777" w:rsidR="007328F4" w:rsidRPr="00157CCF" w:rsidRDefault="007328F4" w:rsidP="00157CCF">
            <w:pPr>
              <w:pStyle w:val="Listparagraf"/>
              <w:numPr>
                <w:ilvl w:val="0"/>
                <w:numId w:val="2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Utilizatori anuali ai unității de asistență medicală nouă/ modernizată</w:t>
            </w:r>
            <w:r w:rsidRPr="00157CCF">
              <w:rPr>
                <w:rStyle w:val="Referinnotdesubsol"/>
                <w:rFonts w:cstheme="minorHAnsi"/>
                <w:color w:val="002060"/>
              </w:rPr>
              <w:footnoteReference w:id="2"/>
            </w:r>
            <w:r w:rsidRPr="00157CCF">
              <w:rPr>
                <w:rFonts w:cstheme="minorHAnsi"/>
                <w:color w:val="002060"/>
              </w:rPr>
              <w:t xml:space="preserve"> </w:t>
            </w:r>
          </w:p>
          <w:p w14:paraId="00170E53" w14:textId="7D8D364B" w:rsidR="007328F4" w:rsidRPr="00157CCF" w:rsidRDefault="007328F4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25" w:type="pct"/>
            <w:vAlign w:val="center"/>
          </w:tcPr>
          <w:p w14:paraId="7892BEFA" w14:textId="4BBBC6ED" w:rsidR="007328F4" w:rsidRPr="00157CCF" w:rsidRDefault="007328F4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b/>
                <w:bCs/>
                <w:color w:val="C00000"/>
              </w:rPr>
            </w:pPr>
          </w:p>
          <w:p w14:paraId="3DBDDE99" w14:textId="77777777" w:rsidR="007328F4" w:rsidRPr="00157CCF" w:rsidRDefault="007328F4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b/>
                <w:bCs/>
                <w:color w:val="C00000"/>
              </w:rPr>
            </w:pPr>
          </w:p>
          <w:p w14:paraId="10FB6A43" w14:textId="5F7980AF" w:rsidR="007328F4" w:rsidRPr="00157CCF" w:rsidRDefault="007328F4" w:rsidP="00157CCF">
            <w:pPr>
              <w:spacing w:before="60"/>
              <w:jc w:val="both"/>
              <w:rPr>
                <w:rFonts w:cstheme="minorHAnsi"/>
                <w:b/>
                <w:bCs/>
                <w:color w:val="C00000"/>
              </w:rPr>
            </w:pPr>
            <w:r w:rsidRPr="00157CCF">
              <w:rPr>
                <w:rFonts w:cstheme="minorHAnsi"/>
                <w:b/>
                <w:bCs/>
                <w:color w:val="C00000"/>
              </w:rPr>
              <w:t>52</w:t>
            </w:r>
            <w:r w:rsidR="001F50F6" w:rsidRPr="00157CCF">
              <w:rPr>
                <w:rFonts w:cstheme="minorHAnsi"/>
                <w:b/>
                <w:bCs/>
                <w:color w:val="C00000"/>
              </w:rPr>
              <w:t>.</w:t>
            </w:r>
            <w:r w:rsidRPr="00157CCF">
              <w:rPr>
                <w:rFonts w:cstheme="minorHAnsi"/>
                <w:b/>
                <w:bCs/>
                <w:color w:val="C00000"/>
              </w:rPr>
              <w:t>266</w:t>
            </w:r>
            <w:r w:rsidR="001F50F6" w:rsidRPr="00157CCF">
              <w:rPr>
                <w:rFonts w:cstheme="minorHAnsi"/>
                <w:b/>
                <w:bCs/>
                <w:color w:val="C00000"/>
              </w:rPr>
              <w:t>.</w:t>
            </w:r>
            <w:r w:rsidRPr="00157CCF">
              <w:rPr>
                <w:rFonts w:cstheme="minorHAnsi"/>
                <w:b/>
                <w:bCs/>
                <w:color w:val="C00000"/>
              </w:rPr>
              <w:t>380 euro</w:t>
            </w:r>
          </w:p>
          <w:p w14:paraId="18283F72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color w:val="FF0000"/>
              </w:rPr>
            </w:pPr>
          </w:p>
          <w:p w14:paraId="04F27FC9" w14:textId="03E31A37" w:rsidR="007328F4" w:rsidRPr="00157CCF" w:rsidRDefault="007328F4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157CCF" w:rsidRPr="00157CCF" w14:paraId="4739611B" w14:textId="77777777" w:rsidTr="00157CCF">
        <w:tc>
          <w:tcPr>
            <w:tcW w:w="651" w:type="pct"/>
          </w:tcPr>
          <w:p w14:paraId="56A5A145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4</w:t>
            </w:r>
          </w:p>
          <w:p w14:paraId="449BB4F6" w14:textId="2B28BFD1" w:rsidR="007328F4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highlight w:val="cyan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091" w:type="pct"/>
          </w:tcPr>
          <w:p w14:paraId="3AEBFE3A" w14:textId="2D951852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Apel de proiecte 2 </w:t>
            </w: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OP4</w:t>
            </w: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: </w:t>
            </w:r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Asigurarea transportului medical adaptat pacientului critic neonatal (pentru toate </w:t>
            </w:r>
            <w:proofErr w:type="spellStart"/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conditiile</w:t>
            </w:r>
            <w:proofErr w:type="spellEnd"/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medico</w:t>
            </w:r>
            <w:proofErr w:type="spellEnd"/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-chirurgicale speciale)</w:t>
            </w:r>
          </w:p>
          <w:p w14:paraId="0A84C3A7" w14:textId="77777777" w:rsidR="007328F4" w:rsidRPr="00157CCF" w:rsidRDefault="007328F4" w:rsidP="00157CCF">
            <w:pPr>
              <w:pStyle w:val="Default"/>
              <w:spacing w:before="60"/>
              <w:ind w:left="3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</w:p>
          <w:p w14:paraId="22528336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Achiziționarea si dotarea corespunzătoare a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sectiilor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/ compartimentelor de terapie intensiva neonatala din </w:t>
            </w:r>
            <w:r w:rsidRPr="00157CC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spitalele de pediatrie si din unitățile spitalicești nivel de ierarhizare III</w:t>
            </w: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conform Ordinului nr. 1881/2006 privind ierarhizarea unităților spitalicești, a secțiilor și compartimentelor de obstetrică-ginecologie și neonatologie cu unități mobile de terapie intensiva neonatala specializata după modele europene de transport neonatal (12 unități mobile)</w:t>
            </w:r>
          </w:p>
          <w:p w14:paraId="5280622B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6122A502" w14:textId="77777777" w:rsidR="007328F4" w:rsidRPr="00157CCF" w:rsidRDefault="007328F4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1200" w:type="pct"/>
          </w:tcPr>
          <w:p w14:paraId="26230259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Obstetrică-Ginecologie "Cuza Vodă"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Iaşi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281DD425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"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Sf.Apostol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Andrei"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Galaţi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1B6051AE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Constanţa</w:t>
            </w:r>
            <w:proofErr w:type="spellEnd"/>
          </w:p>
          <w:p w14:paraId="592A4991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de Urgență pentru Copii „M. S. Curie”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Bucureşti</w:t>
            </w:r>
            <w:proofErr w:type="spellEnd"/>
          </w:p>
          <w:p w14:paraId="465512D9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INSMC "Prof. Dr. Alfred Rusescu" – Clinica Obstetrică-Ginecologie Polizu </w:t>
            </w:r>
          </w:p>
          <w:p w14:paraId="48C0DA22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Craiova</w:t>
            </w:r>
          </w:p>
          <w:p w14:paraId="297D393F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Târgu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Mureş</w:t>
            </w:r>
            <w:proofErr w:type="spellEnd"/>
          </w:p>
          <w:p w14:paraId="4409F922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Municipal de Urgență Timișoara (Obstetrică-Ginecologie "Dr. Dumitru Popescu") </w:t>
            </w:r>
          </w:p>
          <w:p w14:paraId="4DA75F9F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Cluj-Napoca</w:t>
            </w:r>
          </w:p>
          <w:p w14:paraId="290C4189" w14:textId="77777777" w:rsidR="007328F4" w:rsidRPr="00157CCF" w:rsidRDefault="007328F4" w:rsidP="00157CCF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Clinic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Judeţean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Urgenţă</w:t>
            </w:r>
            <w:proofErr w:type="spellEnd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Sibiu</w:t>
            </w:r>
          </w:p>
          <w:p w14:paraId="5084536C" w14:textId="77777777" w:rsidR="00415D05" w:rsidRDefault="007328F4" w:rsidP="00415D05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Spitalul Obstetrică-Ginecologie "Dr. Ioan Aurel Sbârcea" </w:t>
            </w:r>
            <w:proofErr w:type="spellStart"/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Braşov</w:t>
            </w:r>
            <w:proofErr w:type="spellEnd"/>
          </w:p>
          <w:p w14:paraId="092137B7" w14:textId="760247AB" w:rsidR="007328F4" w:rsidRPr="00415D05" w:rsidRDefault="007328F4" w:rsidP="00415D05">
            <w:pPr>
              <w:pStyle w:val="Default"/>
              <w:numPr>
                <w:ilvl w:val="0"/>
                <w:numId w:val="42"/>
              </w:numPr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415D05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Spitalul Clinic Obstetrică-Ginecologie Oradea</w:t>
            </w:r>
          </w:p>
        </w:tc>
        <w:tc>
          <w:tcPr>
            <w:tcW w:w="439" w:type="pct"/>
          </w:tcPr>
          <w:p w14:paraId="5A630FDE" w14:textId="537B97A2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Unitățile sanitare</w:t>
            </w:r>
          </w:p>
        </w:tc>
        <w:tc>
          <w:tcPr>
            <w:tcW w:w="659" w:type="pct"/>
          </w:tcPr>
          <w:p w14:paraId="2D396A22" w14:textId="77777777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Capacitatea infrastructurii de asistență medicală sprijinită (persoane/ an)</w:t>
            </w:r>
            <w:r w:rsidRPr="00157CCF">
              <w:rPr>
                <w:rStyle w:val="Referinnotdesubsol"/>
                <w:rFonts w:cstheme="minorHAnsi"/>
                <w:color w:val="002060"/>
              </w:rPr>
              <w:footnoteReference w:id="3"/>
            </w:r>
          </w:p>
          <w:p w14:paraId="0EA95313" w14:textId="77777777" w:rsidR="007328F4" w:rsidRPr="00157CCF" w:rsidRDefault="007328F4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33A520AD" w14:textId="77777777" w:rsidR="007328F4" w:rsidRPr="00157CCF" w:rsidRDefault="007328F4" w:rsidP="00157CCF">
            <w:pPr>
              <w:pStyle w:val="Listparagraf"/>
              <w:spacing w:before="60"/>
              <w:contextualSpacing w:val="0"/>
              <w:rPr>
                <w:rFonts w:cstheme="minorHAnsi"/>
                <w:color w:val="002060"/>
              </w:rPr>
            </w:pPr>
          </w:p>
          <w:p w14:paraId="60E34EEF" w14:textId="77777777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Unități spitalicești/secții și compartimentelor de obstetrică ginecologie și neonatologie reabilitate/modernizate/extinse/dotate</w:t>
            </w:r>
          </w:p>
          <w:p w14:paraId="0B58089C" w14:textId="77777777" w:rsidR="007328F4" w:rsidRPr="00157CCF" w:rsidRDefault="007328F4" w:rsidP="00157CCF">
            <w:pPr>
              <w:pStyle w:val="Listparagraf"/>
              <w:spacing w:before="60"/>
              <w:contextualSpacing w:val="0"/>
              <w:rPr>
                <w:rFonts w:cstheme="minorHAnsi"/>
                <w:color w:val="002060"/>
              </w:rPr>
            </w:pPr>
          </w:p>
          <w:p w14:paraId="25648DD1" w14:textId="24E95FF5" w:rsidR="007328F4" w:rsidRPr="00157CCF" w:rsidRDefault="007328F4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Unități medicale achiziționate</w:t>
            </w:r>
          </w:p>
        </w:tc>
        <w:tc>
          <w:tcPr>
            <w:tcW w:w="435" w:type="pct"/>
          </w:tcPr>
          <w:p w14:paraId="41D6D4AD" w14:textId="77777777" w:rsidR="007328F4" w:rsidRPr="00157CCF" w:rsidRDefault="007328F4" w:rsidP="00157CCF">
            <w:pPr>
              <w:pStyle w:val="Listparagraf"/>
              <w:numPr>
                <w:ilvl w:val="0"/>
                <w:numId w:val="2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Utilizatori anuali ai unității de asistență medicală nouă/ modernizată</w:t>
            </w:r>
            <w:r w:rsidRPr="00157CCF">
              <w:rPr>
                <w:rStyle w:val="Referinnotdesubsol"/>
                <w:rFonts w:cstheme="minorHAnsi"/>
                <w:color w:val="002060"/>
              </w:rPr>
              <w:footnoteReference w:id="4"/>
            </w:r>
            <w:r w:rsidRPr="00157CCF">
              <w:rPr>
                <w:rFonts w:cstheme="minorHAnsi"/>
                <w:color w:val="002060"/>
              </w:rPr>
              <w:t xml:space="preserve"> </w:t>
            </w:r>
          </w:p>
          <w:p w14:paraId="1DA1606C" w14:textId="77777777" w:rsidR="007328F4" w:rsidRPr="00157CCF" w:rsidRDefault="007328F4" w:rsidP="00157CCF">
            <w:pPr>
              <w:pStyle w:val="Listparagraf"/>
              <w:numPr>
                <w:ilvl w:val="0"/>
                <w:numId w:val="2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25" w:type="pct"/>
            <w:vAlign w:val="center"/>
          </w:tcPr>
          <w:p w14:paraId="52FCCC60" w14:textId="43BB64B4" w:rsidR="007328F4" w:rsidRPr="00157CCF" w:rsidRDefault="007328F4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FF0000"/>
              </w:rPr>
            </w:pPr>
            <w:r w:rsidRPr="00157CCF">
              <w:rPr>
                <w:rFonts w:cstheme="minorHAnsi"/>
                <w:color w:val="C00000"/>
              </w:rPr>
              <w:t>7</w:t>
            </w:r>
            <w:r w:rsidR="00157CCF" w:rsidRPr="00157CCF">
              <w:rPr>
                <w:rFonts w:cstheme="minorHAnsi"/>
                <w:color w:val="C00000"/>
              </w:rPr>
              <w:t>.</w:t>
            </w:r>
            <w:r w:rsidRPr="00157CCF">
              <w:rPr>
                <w:rFonts w:cstheme="minorHAnsi"/>
                <w:color w:val="C00000"/>
              </w:rPr>
              <w:t>345</w:t>
            </w:r>
            <w:r w:rsidR="00157CCF" w:rsidRPr="00157CCF">
              <w:rPr>
                <w:rFonts w:cstheme="minorHAnsi"/>
                <w:color w:val="C00000"/>
              </w:rPr>
              <w:t>.</w:t>
            </w:r>
            <w:r w:rsidRPr="00157CCF">
              <w:rPr>
                <w:rFonts w:cstheme="minorHAnsi"/>
                <w:color w:val="C00000"/>
              </w:rPr>
              <w:t>800 euro</w:t>
            </w:r>
          </w:p>
        </w:tc>
      </w:tr>
      <w:tr w:rsidR="001F50F6" w:rsidRPr="00157CCF" w14:paraId="163C4354" w14:textId="77777777" w:rsidTr="001F50F6">
        <w:tc>
          <w:tcPr>
            <w:tcW w:w="4475" w:type="pct"/>
            <w:gridSpan w:val="6"/>
            <w:shd w:val="clear" w:color="auto" w:fill="FABF8F" w:themeFill="accent6" w:themeFillTint="99"/>
          </w:tcPr>
          <w:p w14:paraId="440F88EF" w14:textId="64E6AB4B" w:rsidR="001F50F6" w:rsidRPr="00157CCF" w:rsidRDefault="001F50F6" w:rsidP="00157CCF">
            <w:pPr>
              <w:spacing w:before="60"/>
              <w:jc w:val="both"/>
              <w:rPr>
                <w:rFonts w:cstheme="minorHAnsi"/>
                <w:b/>
                <w:bCs/>
                <w:color w:val="C00000"/>
              </w:rPr>
            </w:pPr>
            <w:r w:rsidRPr="00157CCF">
              <w:rPr>
                <w:rFonts w:cstheme="minorHAnsi"/>
                <w:b/>
                <w:bCs/>
                <w:color w:val="C00000"/>
              </w:rPr>
              <w:t>Dezvoltarea centrelor regionale de training</w:t>
            </w:r>
          </w:p>
        </w:tc>
        <w:tc>
          <w:tcPr>
            <w:tcW w:w="525" w:type="pct"/>
            <w:shd w:val="clear" w:color="auto" w:fill="FABF8F" w:themeFill="accent6" w:themeFillTint="99"/>
            <w:vAlign w:val="center"/>
          </w:tcPr>
          <w:p w14:paraId="23051D28" w14:textId="77777777" w:rsidR="001F50F6" w:rsidRPr="00157CCF" w:rsidRDefault="001F50F6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b/>
                <w:bCs/>
                <w:color w:val="C00000"/>
              </w:rPr>
            </w:pPr>
          </w:p>
        </w:tc>
      </w:tr>
      <w:tr w:rsidR="001F50F6" w:rsidRPr="00157CCF" w14:paraId="2744F77E" w14:textId="77777777" w:rsidTr="00157CCF">
        <w:tc>
          <w:tcPr>
            <w:tcW w:w="651" w:type="pct"/>
            <w:vMerge w:val="restart"/>
            <w:vAlign w:val="center"/>
          </w:tcPr>
          <w:p w14:paraId="45AEBCD0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4</w:t>
            </w:r>
          </w:p>
          <w:p w14:paraId="538ECE26" w14:textId="6159312C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highlight w:val="cyan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</w:p>
        </w:tc>
        <w:tc>
          <w:tcPr>
            <w:tcW w:w="1091" w:type="pct"/>
            <w:vMerge w:val="restart"/>
          </w:tcPr>
          <w:p w14:paraId="7DC18EFE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FSE+ OP4: </w:t>
            </w: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Dezvoltarea centrelor regionale de training si derularea la nivel național de programe de instruire pentru pacientul critic neonatal</w:t>
            </w:r>
          </w:p>
          <w:p w14:paraId="05979C84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245C1958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Maternități de nivel 3/ cate un centru pe fiecare regiune</w:t>
            </w:r>
          </w:p>
          <w:p w14:paraId="7C4510F1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00A7F4CD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</w:t>
            </w:r>
          </w:p>
          <w:p w14:paraId="46670AB4" w14:textId="77777777" w:rsidR="001F50F6" w:rsidRPr="00157CCF" w:rsidRDefault="001F50F6" w:rsidP="00157CCF">
            <w:pPr>
              <w:pStyle w:val="Default"/>
              <w:numPr>
                <w:ilvl w:val="0"/>
                <w:numId w:val="25"/>
              </w:numPr>
              <w:spacing w:before="60"/>
              <w:ind w:left="3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Investiții de tip FEDR in amenajarea centrelor</w:t>
            </w:r>
          </w:p>
          <w:p w14:paraId="28875CA0" w14:textId="7A127800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eastAsia="Calibri" w:hAnsiTheme="minorHAnsi" w:cstheme="minorHAnsi"/>
                <w:i/>
                <w:color w:val="002060"/>
                <w:sz w:val="22"/>
                <w:szCs w:val="22"/>
                <w:lang w:val="ro-RO"/>
              </w:rPr>
              <w:t>Măsuri de dezvoltare a capacității personalului implicat în implementarea  măsurilor destinate pacientului critic neonatal (ex. dezvoltare/ actualizare curriculum formare, evaluare competente/ certificare, etc)</w:t>
            </w:r>
          </w:p>
        </w:tc>
        <w:tc>
          <w:tcPr>
            <w:tcW w:w="1200" w:type="pct"/>
            <w:vMerge w:val="restart"/>
          </w:tcPr>
          <w:p w14:paraId="6BF93147" w14:textId="77777777" w:rsidR="001F50F6" w:rsidRPr="00157CCF" w:rsidRDefault="001F50F6" w:rsidP="00157CCF">
            <w:pPr>
              <w:spacing w:before="60"/>
              <w:rPr>
                <w:rFonts w:cstheme="minorHAnsi"/>
                <w:color w:val="1F497D" w:themeColor="text2"/>
              </w:rPr>
            </w:pPr>
          </w:p>
        </w:tc>
        <w:tc>
          <w:tcPr>
            <w:tcW w:w="439" w:type="pct"/>
            <w:vMerge w:val="restart"/>
          </w:tcPr>
          <w:p w14:paraId="60ECFE41" w14:textId="77777777" w:rsidR="001F50F6" w:rsidRPr="00157CCF" w:rsidRDefault="001F50F6" w:rsidP="00157CCF">
            <w:pPr>
              <w:spacing w:before="60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Personal implicat în implementarea de măsuri adresate pacientului critic neonatal</w:t>
            </w:r>
          </w:p>
          <w:p w14:paraId="51E451C0" w14:textId="77777777" w:rsidR="001F50F6" w:rsidRPr="00157CCF" w:rsidRDefault="001F50F6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659" w:type="pct"/>
          </w:tcPr>
          <w:p w14:paraId="019DD259" w14:textId="77777777" w:rsidR="001F50F6" w:rsidRPr="00157CCF" w:rsidRDefault="001F50F6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 xml:space="preserve">Centre (regionale) de instruire sprijinite </w:t>
            </w:r>
          </w:p>
          <w:p w14:paraId="3F210E63" w14:textId="42F0CE11" w:rsidR="001F50F6" w:rsidRPr="00157CCF" w:rsidRDefault="001F50F6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35" w:type="pct"/>
          </w:tcPr>
          <w:p w14:paraId="7231CB6C" w14:textId="1E9B5289" w:rsidR="001F50F6" w:rsidRPr="00157CCF" w:rsidRDefault="001F50F6" w:rsidP="00157CCF">
            <w:pPr>
              <w:pStyle w:val="Listparagraf"/>
              <w:numPr>
                <w:ilvl w:val="0"/>
                <w:numId w:val="2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Centre (regionale) de instruire funcționale</w:t>
            </w:r>
          </w:p>
        </w:tc>
        <w:tc>
          <w:tcPr>
            <w:tcW w:w="525" w:type="pct"/>
            <w:vMerge w:val="restart"/>
            <w:vAlign w:val="center"/>
          </w:tcPr>
          <w:p w14:paraId="7B55D7CE" w14:textId="0205AA68" w:rsidR="001F50F6" w:rsidRPr="00157CCF" w:rsidRDefault="001F50F6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b/>
                <w:bCs/>
                <w:color w:val="FF0000"/>
              </w:rPr>
            </w:pPr>
            <w:r w:rsidRPr="00157CCF">
              <w:rPr>
                <w:rFonts w:cstheme="minorHAnsi"/>
                <w:b/>
                <w:bCs/>
                <w:color w:val="C00000"/>
              </w:rPr>
              <w:t>15 mil euro</w:t>
            </w:r>
          </w:p>
        </w:tc>
      </w:tr>
      <w:tr w:rsidR="001F50F6" w:rsidRPr="00157CCF" w14:paraId="492AB9D5" w14:textId="77777777" w:rsidTr="00157CCF">
        <w:tc>
          <w:tcPr>
            <w:tcW w:w="651" w:type="pct"/>
            <w:vMerge/>
            <w:vAlign w:val="center"/>
          </w:tcPr>
          <w:p w14:paraId="01EED62E" w14:textId="77777777" w:rsidR="001F50F6" w:rsidRPr="00157CCF" w:rsidRDefault="001F50F6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091" w:type="pct"/>
            <w:vMerge/>
          </w:tcPr>
          <w:p w14:paraId="429B567D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200" w:type="pct"/>
            <w:vMerge/>
          </w:tcPr>
          <w:p w14:paraId="5C51C098" w14:textId="77777777" w:rsidR="001F50F6" w:rsidRPr="00157CCF" w:rsidRDefault="001F50F6" w:rsidP="00157CCF">
            <w:pPr>
              <w:spacing w:before="60"/>
              <w:rPr>
                <w:rFonts w:cstheme="minorHAnsi"/>
                <w:color w:val="002060"/>
              </w:rPr>
            </w:pPr>
          </w:p>
        </w:tc>
        <w:tc>
          <w:tcPr>
            <w:tcW w:w="439" w:type="pct"/>
            <w:vMerge/>
          </w:tcPr>
          <w:p w14:paraId="47566720" w14:textId="3F0E785D" w:rsidR="001F50F6" w:rsidRPr="00157CCF" w:rsidRDefault="001F50F6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659" w:type="pct"/>
          </w:tcPr>
          <w:p w14:paraId="47BA2012" w14:textId="77777777" w:rsidR="001F50F6" w:rsidRPr="00157CCF" w:rsidRDefault="001F50F6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 xml:space="preserve">Persoane care beneficiază de programe de formare, din care: </w:t>
            </w:r>
          </w:p>
          <w:p w14:paraId="4A6D30C3" w14:textId="77777777" w:rsidR="001F50F6" w:rsidRPr="00157CCF" w:rsidRDefault="001F50F6" w:rsidP="00157CCF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 xml:space="preserve">medici </w:t>
            </w:r>
          </w:p>
          <w:p w14:paraId="59F47F4E" w14:textId="77777777" w:rsidR="001F50F6" w:rsidRPr="00157CCF" w:rsidRDefault="001F50F6" w:rsidP="00157CCF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>asistente</w:t>
            </w:r>
          </w:p>
          <w:p w14:paraId="13C4C4B5" w14:textId="77777777" w:rsidR="001F50F6" w:rsidRPr="00157CCF" w:rsidRDefault="001F50F6" w:rsidP="00157CCF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 xml:space="preserve">alt personal medico-sanitar </w:t>
            </w:r>
          </w:p>
          <w:p w14:paraId="58BF23A5" w14:textId="7EBB0068" w:rsidR="001F50F6" w:rsidRPr="00157CCF" w:rsidRDefault="001F50F6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>personal suport</w:t>
            </w:r>
          </w:p>
        </w:tc>
        <w:tc>
          <w:tcPr>
            <w:tcW w:w="435" w:type="pct"/>
          </w:tcPr>
          <w:p w14:paraId="670B9FDF" w14:textId="77777777" w:rsidR="001F50F6" w:rsidRPr="00157CCF" w:rsidRDefault="001F50F6" w:rsidP="00157CCF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Persoane care și-au îmbunătățit nivelul de calificare/ și-au actualizat cunoștințele și abilitățile profesionale/ au obținut un certificat urmare a sprijinului primit, din care:</w:t>
            </w:r>
          </w:p>
          <w:p w14:paraId="44012539" w14:textId="77777777" w:rsidR="001F50F6" w:rsidRPr="00157CCF" w:rsidRDefault="001F50F6" w:rsidP="00157CCF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 xml:space="preserve">medici </w:t>
            </w:r>
          </w:p>
          <w:p w14:paraId="7AFDD52B" w14:textId="77777777" w:rsidR="001F50F6" w:rsidRPr="00157CCF" w:rsidRDefault="001F50F6" w:rsidP="00157CCF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>asistente</w:t>
            </w:r>
          </w:p>
          <w:p w14:paraId="76E7CE2D" w14:textId="77777777" w:rsidR="001F50F6" w:rsidRPr="00157CCF" w:rsidRDefault="001F50F6" w:rsidP="00157CCF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>alt personal medico-sanitar</w:t>
            </w:r>
          </w:p>
          <w:p w14:paraId="37C755CC" w14:textId="35DD826B" w:rsidR="001F50F6" w:rsidRPr="00157CCF" w:rsidRDefault="001F50F6" w:rsidP="00157CCF">
            <w:pPr>
              <w:pStyle w:val="Listparagraf"/>
              <w:numPr>
                <w:ilvl w:val="0"/>
                <w:numId w:val="2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eastAsia="Calibri" w:cstheme="minorHAnsi"/>
                <w:i/>
                <w:color w:val="002060"/>
              </w:rPr>
              <w:t>personal suport</w:t>
            </w:r>
          </w:p>
        </w:tc>
        <w:tc>
          <w:tcPr>
            <w:tcW w:w="525" w:type="pct"/>
            <w:vMerge/>
            <w:vAlign w:val="center"/>
          </w:tcPr>
          <w:p w14:paraId="75333950" w14:textId="77777777" w:rsidR="001F50F6" w:rsidRPr="00157CCF" w:rsidRDefault="001F50F6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FF0000"/>
              </w:rPr>
            </w:pPr>
          </w:p>
        </w:tc>
      </w:tr>
      <w:tr w:rsidR="00157CCF" w:rsidRPr="00157CCF" w14:paraId="1B0E9C24" w14:textId="77777777" w:rsidTr="00157CCF">
        <w:tc>
          <w:tcPr>
            <w:tcW w:w="4475" w:type="pct"/>
            <w:gridSpan w:val="6"/>
            <w:shd w:val="clear" w:color="auto" w:fill="FABF8F" w:themeFill="accent6" w:themeFillTint="99"/>
            <w:vAlign w:val="center"/>
          </w:tcPr>
          <w:p w14:paraId="19FA982B" w14:textId="5276AC10" w:rsidR="00157CCF" w:rsidRPr="00157CCF" w:rsidRDefault="00157CCF" w:rsidP="00157CCF">
            <w:pPr>
              <w:spacing w:before="60"/>
              <w:jc w:val="both"/>
              <w:rPr>
                <w:rFonts w:cstheme="minorHAnsi"/>
                <w:b/>
                <w:bCs/>
                <w:color w:val="C00000"/>
              </w:rPr>
            </w:pPr>
            <w:r w:rsidRPr="00157CCF">
              <w:rPr>
                <w:rFonts w:cstheme="minorHAnsi"/>
                <w:b/>
                <w:bCs/>
                <w:color w:val="C00000"/>
              </w:rPr>
              <w:t>Digitalizare infrastructură dedicată pacientului critic neonatal</w:t>
            </w:r>
          </w:p>
        </w:tc>
        <w:tc>
          <w:tcPr>
            <w:tcW w:w="525" w:type="pct"/>
            <w:shd w:val="clear" w:color="auto" w:fill="FABF8F" w:themeFill="accent6" w:themeFillTint="99"/>
            <w:vAlign w:val="center"/>
          </w:tcPr>
          <w:p w14:paraId="3DAC6E42" w14:textId="77777777" w:rsidR="00157CCF" w:rsidRPr="00157CCF" w:rsidRDefault="00157CCF" w:rsidP="00157CCF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b/>
                <w:bCs/>
                <w:color w:val="C00000"/>
              </w:rPr>
            </w:pPr>
          </w:p>
        </w:tc>
      </w:tr>
      <w:tr w:rsidR="00157CCF" w:rsidRPr="00157CCF" w14:paraId="1376EFAE" w14:textId="77777777" w:rsidTr="00157CCF">
        <w:tc>
          <w:tcPr>
            <w:tcW w:w="651" w:type="pct"/>
            <w:vAlign w:val="center"/>
          </w:tcPr>
          <w:p w14:paraId="3C7137C3" w14:textId="54C53AB8" w:rsidR="00157CCF" w:rsidRPr="00157CCF" w:rsidRDefault="00157CCF" w:rsidP="00157CCF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lastRenderedPageBreak/>
              <w:t>Prioritatea 6</w:t>
            </w:r>
          </w:p>
          <w:p w14:paraId="7D35DD9E" w14:textId="49265AA4" w:rsidR="001F50F6" w:rsidRPr="00157CCF" w:rsidRDefault="00157CCF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highlight w:val="cyan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091" w:type="pct"/>
          </w:tcPr>
          <w:p w14:paraId="18B8DD91" w14:textId="247A26F9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Apel de proiecte 3 </w:t>
            </w:r>
            <w:r w:rsidRPr="00157CC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OP1</w:t>
            </w:r>
            <w:r w:rsidRPr="00157CCF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: </w:t>
            </w:r>
          </w:p>
          <w:p w14:paraId="2CE2C49D" w14:textId="77777777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730BE11F" w14:textId="0332436F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Asigurarea</w:t>
            </w:r>
            <w:r w:rsidR="00157CCF" w:rsidRPr="00157CCF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digitalizării</w:t>
            </w:r>
            <w:r w:rsidRPr="00157CCF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i</w:t>
            </w: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nfrastructurii </w:t>
            </w:r>
            <w:r w:rsidR="00157CCF"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spitalicești</w:t>
            </w: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adecvate îngrijirii dedicate a  pacientului critic neonatal</w:t>
            </w:r>
          </w:p>
        </w:tc>
        <w:tc>
          <w:tcPr>
            <w:tcW w:w="1200" w:type="pct"/>
          </w:tcPr>
          <w:p w14:paraId="29C8665D" w14:textId="34C11C21" w:rsidR="001F50F6" w:rsidRPr="00157CCF" w:rsidRDefault="001F50F6" w:rsidP="00157CCF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</w:pPr>
            <w:r w:rsidRPr="00157CCF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Spitalele de pediatrie, unitățile spitalicești nivel de ierarhizare II si III conform Ordinului nr. 1881/2006 privind ierarhizarea unităților spitalicești, a secțiilor și compartimentelor de obstetrică-ginecologie și neonatologie  </w:t>
            </w:r>
          </w:p>
        </w:tc>
        <w:tc>
          <w:tcPr>
            <w:tcW w:w="439" w:type="pct"/>
          </w:tcPr>
          <w:p w14:paraId="080BBA42" w14:textId="6E1E914A" w:rsidR="001F50F6" w:rsidRPr="00157CCF" w:rsidRDefault="001F50F6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Unitățile sanitare</w:t>
            </w:r>
          </w:p>
        </w:tc>
        <w:tc>
          <w:tcPr>
            <w:tcW w:w="659" w:type="pct"/>
          </w:tcPr>
          <w:p w14:paraId="44F5197E" w14:textId="79A6BADF" w:rsidR="001F50F6" w:rsidRPr="00157CCF" w:rsidRDefault="00B46238" w:rsidP="00157CCF">
            <w:pPr>
              <w:pStyle w:val="Listparagraf"/>
              <w:numPr>
                <w:ilvl w:val="0"/>
                <w:numId w:val="21"/>
              </w:numPr>
              <w:spacing w:before="60"/>
              <w:contextualSpacing w:val="0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Urmeaz</w:t>
            </w:r>
            <w:r>
              <w:rPr>
                <w:rFonts w:cstheme="minorHAnsi"/>
                <w:color w:val="002060"/>
              </w:rPr>
              <w:t>ă</w:t>
            </w:r>
            <w:r w:rsidRPr="00157CCF">
              <w:rPr>
                <w:rFonts w:cstheme="minorHAnsi"/>
                <w:color w:val="002060"/>
              </w:rPr>
              <w:t xml:space="preserve"> a fi definitivați</w:t>
            </w:r>
          </w:p>
        </w:tc>
        <w:tc>
          <w:tcPr>
            <w:tcW w:w="435" w:type="pct"/>
          </w:tcPr>
          <w:p w14:paraId="09DFD45D" w14:textId="277AF2AD" w:rsidR="001F50F6" w:rsidRPr="00157CCF" w:rsidRDefault="001F50F6" w:rsidP="00157CCF">
            <w:pPr>
              <w:pStyle w:val="Listparagraf"/>
              <w:numPr>
                <w:ilvl w:val="0"/>
                <w:numId w:val="29"/>
              </w:numPr>
              <w:spacing w:before="60"/>
              <w:ind w:left="318" w:hanging="318"/>
              <w:contextualSpacing w:val="0"/>
              <w:rPr>
                <w:rFonts w:cstheme="minorHAnsi"/>
                <w:color w:val="002060"/>
              </w:rPr>
            </w:pPr>
            <w:r w:rsidRPr="00157CCF">
              <w:rPr>
                <w:rFonts w:cstheme="minorHAnsi"/>
                <w:color w:val="002060"/>
              </w:rPr>
              <w:t>Urmeaz</w:t>
            </w:r>
            <w:r w:rsidR="00B46238">
              <w:rPr>
                <w:rFonts w:cstheme="minorHAnsi"/>
                <w:color w:val="002060"/>
              </w:rPr>
              <w:t>ă</w:t>
            </w:r>
            <w:r w:rsidRPr="00157CCF">
              <w:rPr>
                <w:rFonts w:cstheme="minorHAnsi"/>
                <w:color w:val="002060"/>
              </w:rPr>
              <w:t xml:space="preserve"> a fi </w:t>
            </w:r>
            <w:r w:rsidR="00B46238" w:rsidRPr="00157CCF">
              <w:rPr>
                <w:rFonts w:cstheme="minorHAnsi"/>
                <w:color w:val="002060"/>
              </w:rPr>
              <w:t>definitivați</w:t>
            </w:r>
          </w:p>
        </w:tc>
        <w:tc>
          <w:tcPr>
            <w:tcW w:w="525" w:type="pct"/>
          </w:tcPr>
          <w:p w14:paraId="6AE2A23D" w14:textId="764E2439" w:rsidR="001F50F6" w:rsidRPr="00024691" w:rsidRDefault="00B46238" w:rsidP="00024691">
            <w:pPr>
              <w:spacing w:before="60"/>
              <w:rPr>
                <w:rFonts w:cstheme="minorHAnsi"/>
                <w:color w:val="FF0000"/>
              </w:rPr>
            </w:pPr>
            <w:r w:rsidRPr="00024691">
              <w:rPr>
                <w:rFonts w:cstheme="minorHAnsi"/>
                <w:color w:val="002060"/>
              </w:rPr>
              <w:t xml:space="preserve">Urmează a fi </w:t>
            </w:r>
            <w:r w:rsidR="00024691" w:rsidRPr="00024691">
              <w:rPr>
                <w:rFonts w:cstheme="minorHAnsi"/>
                <w:color w:val="002060"/>
              </w:rPr>
              <w:t>stabilită</w:t>
            </w:r>
          </w:p>
        </w:tc>
      </w:tr>
    </w:tbl>
    <w:p w14:paraId="671B813C" w14:textId="2539CD70" w:rsidR="008833A3" w:rsidRPr="00157CCF" w:rsidRDefault="008833A3" w:rsidP="00157CCF">
      <w:pPr>
        <w:spacing w:before="60" w:after="0" w:line="240" w:lineRule="auto"/>
        <w:jc w:val="both"/>
        <w:rPr>
          <w:rFonts w:cstheme="minorHAnsi"/>
          <w:b/>
          <w:bCs/>
          <w:color w:val="FF0000"/>
        </w:rPr>
      </w:pPr>
    </w:p>
    <w:p w14:paraId="358B1815" w14:textId="3427A1AA" w:rsidR="008833A3" w:rsidRPr="00157CCF" w:rsidRDefault="008833A3" w:rsidP="00157CCF">
      <w:pPr>
        <w:spacing w:before="60" w:after="0" w:line="240" w:lineRule="auto"/>
        <w:jc w:val="both"/>
        <w:rPr>
          <w:rFonts w:cstheme="minorHAnsi"/>
          <w:b/>
          <w:bCs/>
          <w:color w:val="FF0000"/>
        </w:rPr>
      </w:pPr>
    </w:p>
    <w:p w14:paraId="6F71CDE6" w14:textId="7BF4D3E8" w:rsidR="008833A3" w:rsidRPr="00157CCF" w:rsidRDefault="008833A3" w:rsidP="00157CCF">
      <w:pPr>
        <w:spacing w:before="60" w:after="0" w:line="240" w:lineRule="auto"/>
        <w:jc w:val="both"/>
        <w:rPr>
          <w:rFonts w:cstheme="minorHAnsi"/>
          <w:b/>
          <w:bCs/>
          <w:color w:val="FF0000"/>
        </w:rPr>
      </w:pPr>
    </w:p>
    <w:sectPr w:rsidR="008833A3" w:rsidRPr="00157CCF" w:rsidSect="00211AAA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5D804" w14:textId="77777777" w:rsidR="00F41AFC" w:rsidRDefault="00F41AFC" w:rsidP="00DA4E31">
      <w:pPr>
        <w:spacing w:after="0" w:line="240" w:lineRule="auto"/>
      </w:pPr>
      <w:r>
        <w:separator/>
      </w:r>
    </w:p>
  </w:endnote>
  <w:endnote w:type="continuationSeparator" w:id="0">
    <w:p w14:paraId="59DDE65D" w14:textId="77777777" w:rsidR="00F41AFC" w:rsidRDefault="00F41AFC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77777777" w:rsidR="00DA4E31" w:rsidRDefault="00DA4E31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35F">
          <w:rPr>
            <w:noProof/>
          </w:rPr>
          <w:t>2</w:t>
        </w:r>
        <w:r>
          <w:fldChar w:fldCharType="end"/>
        </w:r>
      </w:p>
    </w:sdtContent>
  </w:sdt>
  <w:p w14:paraId="6F25852D" w14:textId="77777777" w:rsidR="00DA4E31" w:rsidRDefault="00DA4E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A1985" w14:textId="77777777" w:rsidR="00F41AFC" w:rsidRDefault="00F41AFC" w:rsidP="00DA4E31">
      <w:pPr>
        <w:spacing w:after="0" w:line="240" w:lineRule="auto"/>
      </w:pPr>
      <w:r>
        <w:separator/>
      </w:r>
    </w:p>
  </w:footnote>
  <w:footnote w:type="continuationSeparator" w:id="0">
    <w:p w14:paraId="5E32FF65" w14:textId="77777777" w:rsidR="00F41AFC" w:rsidRDefault="00F41AFC" w:rsidP="00DA4E31">
      <w:pPr>
        <w:spacing w:after="0" w:line="240" w:lineRule="auto"/>
      </w:pPr>
      <w:r>
        <w:continuationSeparator/>
      </w:r>
    </w:p>
  </w:footnote>
  <w:footnote w:id="1">
    <w:p w14:paraId="7698440F" w14:textId="77777777" w:rsidR="007328F4" w:rsidRPr="00780A9D" w:rsidRDefault="007328F4" w:rsidP="00611D4E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2">
    <w:p w14:paraId="075BFDB4" w14:textId="77777777" w:rsidR="007328F4" w:rsidRPr="00780A9D" w:rsidRDefault="007328F4" w:rsidP="00611D4E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>Numărul de pacienți înregistrați,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>n cursul anului imediat după finalizarea intervenției. Indicatorul de referinț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pacienții înregistrați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înainte de începerea intervenției </w:t>
      </w:r>
      <w:r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>i poate fi 0 pentru noi facilitați</w:t>
      </w:r>
    </w:p>
  </w:footnote>
  <w:footnote w:id="3">
    <w:p w14:paraId="30686CC3" w14:textId="77777777" w:rsidR="007328F4" w:rsidRPr="00780A9D" w:rsidRDefault="007328F4" w:rsidP="00FE1BD0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4">
    <w:p w14:paraId="69A9C6DD" w14:textId="77777777" w:rsidR="007328F4" w:rsidRPr="00780A9D" w:rsidRDefault="007328F4" w:rsidP="00FE1BD0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>Numărul de pacienți înregistrați,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>n cursul anului imediat după finalizarea intervenției. Indicatorul de referinț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pacienții înregistrați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înainte de începerea intervenției </w:t>
      </w:r>
      <w:r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>i poate fi 0 pentru noi facilitați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F879DA"/>
    <w:multiLevelType w:val="hybridMultilevel"/>
    <w:tmpl w:val="D9461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44656"/>
    <w:multiLevelType w:val="hybridMultilevel"/>
    <w:tmpl w:val="BE3CA8FA"/>
    <w:lvl w:ilvl="0" w:tplc="BC384F0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C25C2F"/>
    <w:multiLevelType w:val="hybridMultilevel"/>
    <w:tmpl w:val="823A755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D0044"/>
    <w:multiLevelType w:val="hybridMultilevel"/>
    <w:tmpl w:val="02D4F9FC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D0D6F"/>
    <w:multiLevelType w:val="hybridMultilevel"/>
    <w:tmpl w:val="0DFCF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449C"/>
    <w:multiLevelType w:val="hybridMultilevel"/>
    <w:tmpl w:val="88E2E9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8972FD"/>
    <w:multiLevelType w:val="hybridMultilevel"/>
    <w:tmpl w:val="622C8AD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633A82"/>
    <w:multiLevelType w:val="hybridMultilevel"/>
    <w:tmpl w:val="9CA05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F137C4"/>
    <w:multiLevelType w:val="hybridMultilevel"/>
    <w:tmpl w:val="54C0A8D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20E2E"/>
    <w:multiLevelType w:val="hybridMultilevel"/>
    <w:tmpl w:val="442C9C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7514FB"/>
    <w:multiLevelType w:val="hybridMultilevel"/>
    <w:tmpl w:val="251AE31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023936"/>
    <w:multiLevelType w:val="hybridMultilevel"/>
    <w:tmpl w:val="26B440D0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858F6"/>
    <w:multiLevelType w:val="hybridMultilevel"/>
    <w:tmpl w:val="21AC38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027961"/>
    <w:multiLevelType w:val="hybridMultilevel"/>
    <w:tmpl w:val="A3BC1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97E61"/>
    <w:multiLevelType w:val="hybridMultilevel"/>
    <w:tmpl w:val="52DEA25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B35D9A"/>
    <w:multiLevelType w:val="hybridMultilevel"/>
    <w:tmpl w:val="D3749F90"/>
    <w:lvl w:ilvl="0" w:tplc="7D56A956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9" w:hanging="360"/>
      </w:pPr>
    </w:lvl>
    <w:lvl w:ilvl="2" w:tplc="0409001B" w:tentative="1">
      <w:start w:val="1"/>
      <w:numFmt w:val="lowerRoman"/>
      <w:lvlText w:val="%3."/>
      <w:lvlJc w:val="right"/>
      <w:pPr>
        <w:ind w:left="1939" w:hanging="180"/>
      </w:pPr>
    </w:lvl>
    <w:lvl w:ilvl="3" w:tplc="0409000F" w:tentative="1">
      <w:start w:val="1"/>
      <w:numFmt w:val="decimal"/>
      <w:lvlText w:val="%4."/>
      <w:lvlJc w:val="left"/>
      <w:pPr>
        <w:ind w:left="2659" w:hanging="360"/>
      </w:pPr>
    </w:lvl>
    <w:lvl w:ilvl="4" w:tplc="04090019" w:tentative="1">
      <w:start w:val="1"/>
      <w:numFmt w:val="lowerLetter"/>
      <w:lvlText w:val="%5."/>
      <w:lvlJc w:val="left"/>
      <w:pPr>
        <w:ind w:left="3379" w:hanging="360"/>
      </w:pPr>
    </w:lvl>
    <w:lvl w:ilvl="5" w:tplc="0409001B" w:tentative="1">
      <w:start w:val="1"/>
      <w:numFmt w:val="lowerRoman"/>
      <w:lvlText w:val="%6."/>
      <w:lvlJc w:val="right"/>
      <w:pPr>
        <w:ind w:left="4099" w:hanging="180"/>
      </w:pPr>
    </w:lvl>
    <w:lvl w:ilvl="6" w:tplc="0409000F" w:tentative="1">
      <w:start w:val="1"/>
      <w:numFmt w:val="decimal"/>
      <w:lvlText w:val="%7."/>
      <w:lvlJc w:val="left"/>
      <w:pPr>
        <w:ind w:left="4819" w:hanging="360"/>
      </w:pPr>
    </w:lvl>
    <w:lvl w:ilvl="7" w:tplc="04090019" w:tentative="1">
      <w:start w:val="1"/>
      <w:numFmt w:val="lowerLetter"/>
      <w:lvlText w:val="%8."/>
      <w:lvlJc w:val="left"/>
      <w:pPr>
        <w:ind w:left="5539" w:hanging="360"/>
      </w:pPr>
    </w:lvl>
    <w:lvl w:ilvl="8" w:tplc="040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27" w15:restartNumberingAfterBreak="0">
    <w:nsid w:val="4E997747"/>
    <w:multiLevelType w:val="hybridMultilevel"/>
    <w:tmpl w:val="A3BC1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0046E"/>
    <w:multiLevelType w:val="hybridMultilevel"/>
    <w:tmpl w:val="2E34ED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112207"/>
    <w:multiLevelType w:val="hybridMultilevel"/>
    <w:tmpl w:val="251AE314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824A8"/>
    <w:multiLevelType w:val="hybridMultilevel"/>
    <w:tmpl w:val="0C2AEF1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BD560C"/>
    <w:multiLevelType w:val="hybridMultilevel"/>
    <w:tmpl w:val="BB460F6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F3855"/>
    <w:multiLevelType w:val="hybridMultilevel"/>
    <w:tmpl w:val="A0627784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9"/>
  </w:num>
  <w:num w:numId="5">
    <w:abstractNumId w:val="31"/>
  </w:num>
  <w:num w:numId="6">
    <w:abstractNumId w:val="28"/>
  </w:num>
  <w:num w:numId="7">
    <w:abstractNumId w:val="5"/>
  </w:num>
  <w:num w:numId="8">
    <w:abstractNumId w:val="17"/>
  </w:num>
  <w:num w:numId="9">
    <w:abstractNumId w:val="30"/>
  </w:num>
  <w:num w:numId="10">
    <w:abstractNumId w:val="11"/>
  </w:num>
  <w:num w:numId="11">
    <w:abstractNumId w:val="39"/>
  </w:num>
  <w:num w:numId="12">
    <w:abstractNumId w:val="36"/>
  </w:num>
  <w:num w:numId="13">
    <w:abstractNumId w:val="21"/>
  </w:num>
  <w:num w:numId="14">
    <w:abstractNumId w:val="32"/>
  </w:num>
  <w:num w:numId="15">
    <w:abstractNumId w:val="19"/>
  </w:num>
  <w:num w:numId="16">
    <w:abstractNumId w:val="16"/>
  </w:num>
  <w:num w:numId="17">
    <w:abstractNumId w:val="0"/>
  </w:num>
  <w:num w:numId="18">
    <w:abstractNumId w:val="40"/>
  </w:num>
  <w:num w:numId="19">
    <w:abstractNumId w:val="22"/>
  </w:num>
  <w:num w:numId="20">
    <w:abstractNumId w:val="33"/>
  </w:num>
  <w:num w:numId="21">
    <w:abstractNumId w:val="3"/>
  </w:num>
  <w:num w:numId="22">
    <w:abstractNumId w:val="25"/>
  </w:num>
  <w:num w:numId="23">
    <w:abstractNumId w:val="42"/>
  </w:num>
  <w:num w:numId="24">
    <w:abstractNumId w:val="13"/>
  </w:num>
  <w:num w:numId="25">
    <w:abstractNumId w:val="38"/>
  </w:num>
  <w:num w:numId="26">
    <w:abstractNumId w:val="41"/>
  </w:num>
  <w:num w:numId="27">
    <w:abstractNumId w:val="6"/>
  </w:num>
  <w:num w:numId="28">
    <w:abstractNumId w:val="9"/>
  </w:num>
  <w:num w:numId="29">
    <w:abstractNumId w:val="37"/>
  </w:num>
  <w:num w:numId="30">
    <w:abstractNumId w:val="12"/>
  </w:num>
  <w:num w:numId="31">
    <w:abstractNumId w:val="1"/>
  </w:num>
  <w:num w:numId="32">
    <w:abstractNumId w:val="7"/>
  </w:num>
  <w:num w:numId="33">
    <w:abstractNumId w:val="34"/>
  </w:num>
  <w:num w:numId="34">
    <w:abstractNumId w:val="20"/>
  </w:num>
  <w:num w:numId="35">
    <w:abstractNumId w:val="8"/>
  </w:num>
  <w:num w:numId="36">
    <w:abstractNumId w:val="4"/>
  </w:num>
  <w:num w:numId="37">
    <w:abstractNumId w:val="24"/>
  </w:num>
  <w:num w:numId="38">
    <w:abstractNumId w:val="26"/>
  </w:num>
  <w:num w:numId="39">
    <w:abstractNumId w:val="27"/>
  </w:num>
  <w:num w:numId="40">
    <w:abstractNumId w:val="35"/>
  </w:num>
  <w:num w:numId="41">
    <w:abstractNumId w:val="2"/>
  </w:num>
  <w:num w:numId="42">
    <w:abstractNumId w:val="18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26"/>
    <w:rsid w:val="000107E0"/>
    <w:rsid w:val="00024691"/>
    <w:rsid w:val="00063C25"/>
    <w:rsid w:val="00081687"/>
    <w:rsid w:val="00091461"/>
    <w:rsid w:val="00093C5B"/>
    <w:rsid w:val="00095AAA"/>
    <w:rsid w:val="000A14EC"/>
    <w:rsid w:val="000A4CF9"/>
    <w:rsid w:val="000A6FDC"/>
    <w:rsid w:val="000D3DE0"/>
    <w:rsid w:val="000E3A4C"/>
    <w:rsid w:val="000F0022"/>
    <w:rsid w:val="001005BA"/>
    <w:rsid w:val="00101E81"/>
    <w:rsid w:val="001115B4"/>
    <w:rsid w:val="00114619"/>
    <w:rsid w:val="0015164C"/>
    <w:rsid w:val="0015438B"/>
    <w:rsid w:val="00155616"/>
    <w:rsid w:val="00157CCF"/>
    <w:rsid w:val="001749E2"/>
    <w:rsid w:val="001823B3"/>
    <w:rsid w:val="00191544"/>
    <w:rsid w:val="00193610"/>
    <w:rsid w:val="001A118E"/>
    <w:rsid w:val="001A7143"/>
    <w:rsid w:val="001B6D11"/>
    <w:rsid w:val="001C0C3E"/>
    <w:rsid w:val="001D1E46"/>
    <w:rsid w:val="001F08EB"/>
    <w:rsid w:val="001F3346"/>
    <w:rsid w:val="001F50F6"/>
    <w:rsid w:val="001F6726"/>
    <w:rsid w:val="001F7DB2"/>
    <w:rsid w:val="00211AAA"/>
    <w:rsid w:val="0023039D"/>
    <w:rsid w:val="00246FF0"/>
    <w:rsid w:val="00253804"/>
    <w:rsid w:val="00261A6F"/>
    <w:rsid w:val="0026792E"/>
    <w:rsid w:val="00270DF0"/>
    <w:rsid w:val="002901B1"/>
    <w:rsid w:val="002904A9"/>
    <w:rsid w:val="00297899"/>
    <w:rsid w:val="002A42EF"/>
    <w:rsid w:val="002B3D3F"/>
    <w:rsid w:val="002B5A35"/>
    <w:rsid w:val="002B6FF4"/>
    <w:rsid w:val="002C09FC"/>
    <w:rsid w:val="002C0D75"/>
    <w:rsid w:val="002C3357"/>
    <w:rsid w:val="002D4C7E"/>
    <w:rsid w:val="002E1562"/>
    <w:rsid w:val="00300A7E"/>
    <w:rsid w:val="00326134"/>
    <w:rsid w:val="00330B7C"/>
    <w:rsid w:val="0034082C"/>
    <w:rsid w:val="00357083"/>
    <w:rsid w:val="0036338C"/>
    <w:rsid w:val="00370B80"/>
    <w:rsid w:val="0037770C"/>
    <w:rsid w:val="003830E9"/>
    <w:rsid w:val="00383571"/>
    <w:rsid w:val="003877BD"/>
    <w:rsid w:val="003904C2"/>
    <w:rsid w:val="003B12AC"/>
    <w:rsid w:val="003B3CE1"/>
    <w:rsid w:val="003E0C66"/>
    <w:rsid w:val="003F78D4"/>
    <w:rsid w:val="00415543"/>
    <w:rsid w:val="00415A59"/>
    <w:rsid w:val="00415D05"/>
    <w:rsid w:val="004350CA"/>
    <w:rsid w:val="004454A0"/>
    <w:rsid w:val="0044729E"/>
    <w:rsid w:val="00454AC4"/>
    <w:rsid w:val="00456B45"/>
    <w:rsid w:val="00464308"/>
    <w:rsid w:val="004668F5"/>
    <w:rsid w:val="004743D8"/>
    <w:rsid w:val="00477AFE"/>
    <w:rsid w:val="00483B36"/>
    <w:rsid w:val="004906DE"/>
    <w:rsid w:val="0049111F"/>
    <w:rsid w:val="00491A14"/>
    <w:rsid w:val="00496502"/>
    <w:rsid w:val="004979E5"/>
    <w:rsid w:val="004A3E2A"/>
    <w:rsid w:val="004A7CE8"/>
    <w:rsid w:val="004D2AD2"/>
    <w:rsid w:val="004D7CA9"/>
    <w:rsid w:val="004E4B51"/>
    <w:rsid w:val="004F384D"/>
    <w:rsid w:val="005170D2"/>
    <w:rsid w:val="00524B4F"/>
    <w:rsid w:val="00527CE1"/>
    <w:rsid w:val="00534239"/>
    <w:rsid w:val="005372C7"/>
    <w:rsid w:val="005402E2"/>
    <w:rsid w:val="0057480C"/>
    <w:rsid w:val="00577E79"/>
    <w:rsid w:val="00594E2C"/>
    <w:rsid w:val="005D0702"/>
    <w:rsid w:val="005D0FB3"/>
    <w:rsid w:val="005D7796"/>
    <w:rsid w:val="005F57A0"/>
    <w:rsid w:val="005F71DD"/>
    <w:rsid w:val="00611D4E"/>
    <w:rsid w:val="006162AE"/>
    <w:rsid w:val="0061636E"/>
    <w:rsid w:val="006263AC"/>
    <w:rsid w:val="006326B3"/>
    <w:rsid w:val="0064390F"/>
    <w:rsid w:val="00643AEC"/>
    <w:rsid w:val="00650023"/>
    <w:rsid w:val="006767F0"/>
    <w:rsid w:val="00695171"/>
    <w:rsid w:val="006A5B36"/>
    <w:rsid w:val="006C699B"/>
    <w:rsid w:val="006D514E"/>
    <w:rsid w:val="006D5675"/>
    <w:rsid w:val="006D5FE2"/>
    <w:rsid w:val="006D612A"/>
    <w:rsid w:val="00703DDF"/>
    <w:rsid w:val="0071410E"/>
    <w:rsid w:val="0071625D"/>
    <w:rsid w:val="0071789E"/>
    <w:rsid w:val="007328F4"/>
    <w:rsid w:val="00736EBC"/>
    <w:rsid w:val="007477CE"/>
    <w:rsid w:val="00750B5B"/>
    <w:rsid w:val="007537D0"/>
    <w:rsid w:val="00755333"/>
    <w:rsid w:val="00761A4B"/>
    <w:rsid w:val="00767CC8"/>
    <w:rsid w:val="00771297"/>
    <w:rsid w:val="007A5090"/>
    <w:rsid w:val="007C3077"/>
    <w:rsid w:val="007C54AB"/>
    <w:rsid w:val="007E49B6"/>
    <w:rsid w:val="007F5E80"/>
    <w:rsid w:val="00806176"/>
    <w:rsid w:val="00812CCB"/>
    <w:rsid w:val="00814696"/>
    <w:rsid w:val="0083449C"/>
    <w:rsid w:val="008449AB"/>
    <w:rsid w:val="00847D52"/>
    <w:rsid w:val="008634C8"/>
    <w:rsid w:val="0087640C"/>
    <w:rsid w:val="008833A3"/>
    <w:rsid w:val="00884182"/>
    <w:rsid w:val="0088492C"/>
    <w:rsid w:val="0089122E"/>
    <w:rsid w:val="008930E3"/>
    <w:rsid w:val="008A18A3"/>
    <w:rsid w:val="008A4B8D"/>
    <w:rsid w:val="008A5106"/>
    <w:rsid w:val="008B4632"/>
    <w:rsid w:val="008B7E5B"/>
    <w:rsid w:val="008C2616"/>
    <w:rsid w:val="008E4179"/>
    <w:rsid w:val="008F1F18"/>
    <w:rsid w:val="008F27F9"/>
    <w:rsid w:val="00900BBC"/>
    <w:rsid w:val="009124A1"/>
    <w:rsid w:val="0091438D"/>
    <w:rsid w:val="0092078E"/>
    <w:rsid w:val="0092221A"/>
    <w:rsid w:val="00926D4C"/>
    <w:rsid w:val="00933C93"/>
    <w:rsid w:val="00934222"/>
    <w:rsid w:val="00940AFD"/>
    <w:rsid w:val="00946642"/>
    <w:rsid w:val="0095697E"/>
    <w:rsid w:val="00962377"/>
    <w:rsid w:val="00963BF9"/>
    <w:rsid w:val="009643FD"/>
    <w:rsid w:val="009710A7"/>
    <w:rsid w:val="00990628"/>
    <w:rsid w:val="009A7B47"/>
    <w:rsid w:val="009D5A26"/>
    <w:rsid w:val="009E0A60"/>
    <w:rsid w:val="009E471C"/>
    <w:rsid w:val="009F1C27"/>
    <w:rsid w:val="00A14A95"/>
    <w:rsid w:val="00A21DAA"/>
    <w:rsid w:val="00A24799"/>
    <w:rsid w:val="00A46CE9"/>
    <w:rsid w:val="00A55FE5"/>
    <w:rsid w:val="00A649CD"/>
    <w:rsid w:val="00A7184B"/>
    <w:rsid w:val="00A71D25"/>
    <w:rsid w:val="00A72D03"/>
    <w:rsid w:val="00A841E8"/>
    <w:rsid w:val="00A85799"/>
    <w:rsid w:val="00A96602"/>
    <w:rsid w:val="00A9707A"/>
    <w:rsid w:val="00AA1824"/>
    <w:rsid w:val="00AA1D7E"/>
    <w:rsid w:val="00AC454D"/>
    <w:rsid w:val="00AF7065"/>
    <w:rsid w:val="00B00591"/>
    <w:rsid w:val="00B02CD3"/>
    <w:rsid w:val="00B072CA"/>
    <w:rsid w:val="00B10EC3"/>
    <w:rsid w:val="00B20F4C"/>
    <w:rsid w:val="00B25F86"/>
    <w:rsid w:val="00B46238"/>
    <w:rsid w:val="00B620B9"/>
    <w:rsid w:val="00B65CFC"/>
    <w:rsid w:val="00B731B4"/>
    <w:rsid w:val="00B734AE"/>
    <w:rsid w:val="00B76A8B"/>
    <w:rsid w:val="00B85589"/>
    <w:rsid w:val="00B876F2"/>
    <w:rsid w:val="00BA52E2"/>
    <w:rsid w:val="00BD02C0"/>
    <w:rsid w:val="00BD476F"/>
    <w:rsid w:val="00BD5344"/>
    <w:rsid w:val="00BD7229"/>
    <w:rsid w:val="00BE267B"/>
    <w:rsid w:val="00BE460C"/>
    <w:rsid w:val="00BF3019"/>
    <w:rsid w:val="00C02D16"/>
    <w:rsid w:val="00C0500B"/>
    <w:rsid w:val="00C1055A"/>
    <w:rsid w:val="00C3744C"/>
    <w:rsid w:val="00C4362C"/>
    <w:rsid w:val="00C4670D"/>
    <w:rsid w:val="00C53D88"/>
    <w:rsid w:val="00C57315"/>
    <w:rsid w:val="00C764BE"/>
    <w:rsid w:val="00C771AE"/>
    <w:rsid w:val="00C771FF"/>
    <w:rsid w:val="00C9258F"/>
    <w:rsid w:val="00C975FE"/>
    <w:rsid w:val="00CD1A44"/>
    <w:rsid w:val="00CE6F37"/>
    <w:rsid w:val="00CF50BD"/>
    <w:rsid w:val="00CF6F05"/>
    <w:rsid w:val="00D17231"/>
    <w:rsid w:val="00D2420D"/>
    <w:rsid w:val="00D35BC5"/>
    <w:rsid w:val="00D60850"/>
    <w:rsid w:val="00D67292"/>
    <w:rsid w:val="00D71EDD"/>
    <w:rsid w:val="00D72B4E"/>
    <w:rsid w:val="00D75069"/>
    <w:rsid w:val="00D86F45"/>
    <w:rsid w:val="00D912FE"/>
    <w:rsid w:val="00DA1209"/>
    <w:rsid w:val="00DA4B4C"/>
    <w:rsid w:val="00DA4E31"/>
    <w:rsid w:val="00DB75A0"/>
    <w:rsid w:val="00DC131F"/>
    <w:rsid w:val="00DC169E"/>
    <w:rsid w:val="00DD60F0"/>
    <w:rsid w:val="00DE696B"/>
    <w:rsid w:val="00DF77D1"/>
    <w:rsid w:val="00E02972"/>
    <w:rsid w:val="00E03D40"/>
    <w:rsid w:val="00E0635F"/>
    <w:rsid w:val="00E12808"/>
    <w:rsid w:val="00E1579C"/>
    <w:rsid w:val="00E213B6"/>
    <w:rsid w:val="00E23B70"/>
    <w:rsid w:val="00E342CA"/>
    <w:rsid w:val="00E42C28"/>
    <w:rsid w:val="00E45EC3"/>
    <w:rsid w:val="00E5121A"/>
    <w:rsid w:val="00E514F3"/>
    <w:rsid w:val="00E62516"/>
    <w:rsid w:val="00E76247"/>
    <w:rsid w:val="00E843E9"/>
    <w:rsid w:val="00E872E5"/>
    <w:rsid w:val="00E96CC0"/>
    <w:rsid w:val="00EC4CFA"/>
    <w:rsid w:val="00EC581D"/>
    <w:rsid w:val="00ED14CF"/>
    <w:rsid w:val="00ED355C"/>
    <w:rsid w:val="00ED4642"/>
    <w:rsid w:val="00ED5DFC"/>
    <w:rsid w:val="00ED7F53"/>
    <w:rsid w:val="00EF5307"/>
    <w:rsid w:val="00F06028"/>
    <w:rsid w:val="00F16775"/>
    <w:rsid w:val="00F204C8"/>
    <w:rsid w:val="00F34AEF"/>
    <w:rsid w:val="00F41AFC"/>
    <w:rsid w:val="00F42BAF"/>
    <w:rsid w:val="00F44ED3"/>
    <w:rsid w:val="00F459C3"/>
    <w:rsid w:val="00F65DC2"/>
    <w:rsid w:val="00F8414C"/>
    <w:rsid w:val="00F86DB5"/>
    <w:rsid w:val="00F87639"/>
    <w:rsid w:val="00F94F64"/>
    <w:rsid w:val="00FA078E"/>
    <w:rsid w:val="00FB1E09"/>
    <w:rsid w:val="00FB73A0"/>
    <w:rsid w:val="00FC21CE"/>
    <w:rsid w:val="00FC5869"/>
    <w:rsid w:val="00FE1BD0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4D3DB216-0C3F-4603-B885-4F1EF27C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64390F"/>
    <w:rPr>
      <w:rFonts w:ascii="Lucida Grande" w:hAnsi="Lucida Grande"/>
      <w:b/>
      <w:color w:val="000000"/>
      <w:sz w:val="2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11D4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11D4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11D4E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C0500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0500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0500B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500B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500B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DB75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8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D627-40C8-4CA9-ACE4-4325A3A0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971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5</cp:revision>
  <dcterms:created xsi:type="dcterms:W3CDTF">2020-10-01T11:31:00Z</dcterms:created>
  <dcterms:modified xsi:type="dcterms:W3CDTF">2020-10-01T11:36:00Z</dcterms:modified>
</cp:coreProperties>
</file>